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311A2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</w:p>
    <w:p w14:paraId="778DE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ind w:firstLine="44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bookmarkStart w:id="1" w:name="_GoBack"/>
      <w:bookmarkEnd w:id="1"/>
      <w:bookmarkStart w:id="0" w:name="OLE_LINK4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2024年绵阳市校园足球短视频的评审规则</w:t>
      </w:r>
      <w:bookmarkEnd w:id="0"/>
    </w:p>
    <w:p w14:paraId="4048881C">
      <w:pPr>
        <w:spacing w:line="560" w:lineRule="exact"/>
        <w:ind w:firstLine="643" w:firstLineChars="200"/>
        <w:rPr>
          <w:rFonts w:ascii="仿宋_GB2312" w:eastAsia="仿宋_GB2312"/>
          <w:b/>
          <w:bCs/>
          <w:color w:val="000000"/>
          <w:sz w:val="32"/>
          <w:szCs w:val="32"/>
        </w:rPr>
      </w:pPr>
    </w:p>
    <w:p w14:paraId="0E758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一、内容评审（60 分）</w:t>
      </w:r>
    </w:p>
    <w:p w14:paraId="5F472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1.创新性，视角独特，表现手法新颖，有创意的剪辑和叙事方式。（2</w:t>
      </w:r>
      <w:r>
        <w:rPr>
          <w:rFonts w:ascii="仿宋_GB2312" w:eastAsia="仿宋_GB2312"/>
          <w:color w:val="000000"/>
          <w:sz w:val="32"/>
          <w:szCs w:val="32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分）</w:t>
      </w:r>
    </w:p>
    <w:p w14:paraId="06BCD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2.紧密围绕校园足球主题，展现校园足球的魅力、球员风采、比赛场景等。（</w:t>
      </w:r>
      <w:r>
        <w:rPr>
          <w:rFonts w:ascii="仿宋_GB2312" w:eastAsia="仿宋_GB2312"/>
          <w:color w:val="000000"/>
          <w:sz w:val="32"/>
          <w:szCs w:val="32"/>
        </w:rPr>
        <w:t>15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分）</w:t>
      </w:r>
    </w:p>
    <w:p w14:paraId="10272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3.内容完整，逻辑清晰，有明确的开头、中间和结尾，情节连贯。（15 分）</w:t>
      </w:r>
    </w:p>
    <w:p w14:paraId="2AFA9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4.有对校园足球发展的深入思考或建设性意见。（</w:t>
      </w:r>
      <w:r>
        <w:rPr>
          <w:rFonts w:ascii="仿宋_GB2312" w:eastAsia="仿宋_GB2312"/>
          <w:color w:val="000000"/>
          <w:sz w:val="32"/>
          <w:szCs w:val="32"/>
        </w:rPr>
        <w:t>10</w:t>
      </w:r>
      <w:r>
        <w:rPr>
          <w:rFonts w:hint="eastAsia" w:ascii="仿宋_GB2312" w:eastAsia="仿宋_GB2312"/>
          <w:color w:val="000000"/>
          <w:sz w:val="32"/>
          <w:szCs w:val="32"/>
        </w:rPr>
        <w:t>分）</w:t>
      </w:r>
    </w:p>
    <w:p w14:paraId="03E9B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二、技术评审（30 分）</w:t>
      </w:r>
    </w:p>
    <w:p w14:paraId="4FA82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1.画面清晰、稳定，色彩鲜艳，构图合理，无明显抖动和模糊。（10 分）</w:t>
      </w:r>
    </w:p>
    <w:p w14:paraId="26F63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 声音清晰，无杂音，背景音乐与画面内容匹配，音量适中。（10分）</w:t>
      </w:r>
    </w:p>
    <w:p w14:paraId="403F4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 剪辑流畅，转场自然，节奏把握得当。（10分）</w:t>
      </w:r>
    </w:p>
    <w:p w14:paraId="2E20D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三、推广价值（10分）</w:t>
      </w:r>
    </w:p>
    <w:p w14:paraId="14ED9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具有教育意义和推广价值，能够激发学生对足球的兴趣，传递积极的足球文化和价值观，对校园足球推广有较大帮助。（10 分）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NjAwMjU3NjdjZDAxZmE0YmMxN2Y3ODBhMWNlNjkifQ=="/>
  </w:docVars>
  <w:rsids>
    <w:rsidRoot w:val="00BC631E"/>
    <w:rsid w:val="00BB1881"/>
    <w:rsid w:val="00BC631E"/>
    <w:rsid w:val="00CD7ADF"/>
    <w:rsid w:val="00E34D78"/>
    <w:rsid w:val="03360AAB"/>
    <w:rsid w:val="17F71BFA"/>
    <w:rsid w:val="298D0B25"/>
    <w:rsid w:val="5B263446"/>
    <w:rsid w:val="6F3E2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341</Characters>
  <Lines>2</Lines>
  <Paragraphs>1</Paragraphs>
  <TotalTime>17</TotalTime>
  <ScaleCrop>false</ScaleCrop>
  <LinksUpToDate>false</LinksUpToDate>
  <CharactersWithSpaces>350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2024-10-23T06:34:00Z</dcterms:created>
  <dc:creator>fyy</dc:creator>
  <cp:lastModifiedBy>fyy</cp:lastModifiedBy>
  <dcterms:modified xsi:type="dcterms:W3CDTF">2024-11-04T06:32:22Z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519C622E6A6346F5AE52EA5F83B4B787_12</vt:lpwstr>
  </property>
</Properties>
</file>